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AD0" w14:textId="77777777" w:rsidR="005C26FF" w:rsidRPr="00E966C0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1F67E4" w14:textId="77777777" w:rsidR="005C26FF" w:rsidRPr="007F1DA9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B0B5F45" wp14:editId="6E52963B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E176DC" w14:textId="77777777" w:rsidR="005C26FF" w:rsidRPr="007F1DA9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32F3BBD" w14:textId="4BB6B2CB" w:rsidR="0051031E" w:rsidRPr="00F76303" w:rsidRDefault="0051031E" w:rsidP="0051031E">
      <w:pPr>
        <w:ind w:firstLine="482"/>
        <w:jc w:val="both"/>
        <w:rPr>
          <w:rFonts w:ascii="Times New Roman" w:hAnsi="Times New Roman"/>
          <w:sz w:val="24"/>
          <w:szCs w:val="24"/>
        </w:rPr>
      </w:pPr>
      <w:r w:rsidRPr="006F609E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>
        <w:rPr>
          <w:rFonts w:ascii="Times New Roman" w:hAnsi="Times New Roman"/>
          <w:sz w:val="24"/>
          <w:szCs w:val="24"/>
          <w:lang w:val="sr-Cyrl-RS"/>
        </w:rPr>
        <w:t>Уредбе о утврђивању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45308" w:rsidRPr="00745308">
        <w:rPr>
          <w:rFonts w:ascii="Times New Roman" w:hAnsi="Times New Roman"/>
          <w:sz w:val="24"/>
          <w:szCs w:val="24"/>
          <w:lang w:val="sr-Cyrl-CS"/>
        </w:rPr>
        <w:t>Програм</w:t>
      </w:r>
      <w:r w:rsidR="00745308">
        <w:rPr>
          <w:rFonts w:ascii="Times New Roman" w:hAnsi="Times New Roman"/>
          <w:sz w:val="24"/>
          <w:szCs w:val="24"/>
          <w:lang w:val="sr-Cyrl-CS"/>
        </w:rPr>
        <w:t>а</w:t>
      </w:r>
      <w:r w:rsidR="00745308" w:rsidRPr="00745308">
        <w:rPr>
          <w:rFonts w:ascii="Times New Roman" w:hAnsi="Times New Roman"/>
          <w:sz w:val="24"/>
          <w:szCs w:val="24"/>
          <w:lang w:val="sr-Cyrl-CS"/>
        </w:rPr>
        <w:t xml:space="preserve"> за подстицај развоја прерађивачких капацитета у области производње вина, пива и јаких алкохолних пића од 100% домаће сировине у 2026. години </w:t>
      </w:r>
      <w:r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РС“, </w:t>
      </w:r>
      <w:r w:rsidRPr="00F76303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>
        <w:rPr>
          <w:rFonts w:ascii="Times New Roman" w:hAnsi="Times New Roman"/>
          <w:sz w:val="24"/>
          <w:szCs w:val="24"/>
          <w:lang w:val="sr-Cyrl-CS"/>
        </w:rPr>
        <w:t>19</w:t>
      </w:r>
      <w:r w:rsidRPr="00F76303">
        <w:rPr>
          <w:rFonts w:ascii="Times New Roman" w:hAnsi="Times New Roman"/>
          <w:sz w:val="24"/>
          <w:szCs w:val="24"/>
          <w:lang w:val="sr-Cyrl-CS"/>
        </w:rPr>
        <w:t>/2</w:t>
      </w:r>
      <w:r>
        <w:rPr>
          <w:rFonts w:ascii="Times New Roman" w:hAnsi="Times New Roman"/>
          <w:sz w:val="24"/>
          <w:szCs w:val="24"/>
        </w:rPr>
        <w:t>6</w:t>
      </w:r>
      <w:r w:rsidRPr="00F76303">
        <w:rPr>
          <w:rFonts w:ascii="Times New Roman" w:hAnsi="Times New Roman"/>
          <w:sz w:val="24"/>
          <w:szCs w:val="24"/>
        </w:rPr>
        <w:t>)</w:t>
      </w:r>
    </w:p>
    <w:p w14:paraId="6B99B860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3432EA5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4361157B" w14:textId="77777777" w:rsidR="005C26FF" w:rsidRPr="007F1DA9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81E999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ИНИСТАРСТВО ПРИВРЕДЕ</w:t>
      </w:r>
    </w:p>
    <w:p w14:paraId="58EB8239" w14:textId="77777777" w:rsidR="005C26FF" w:rsidRPr="007F1DA9" w:rsidRDefault="005C26FF" w:rsidP="001A1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DEFB76C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расписује </w:t>
      </w:r>
    </w:p>
    <w:p w14:paraId="505C8798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8CAB880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</w:t>
      </w:r>
    </w:p>
    <w:p w14:paraId="6414B7A7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доделу бесповратних средстава </w:t>
      </w:r>
      <w:r w:rsidR="00615732"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оквиру</w:t>
      </w:r>
    </w:p>
    <w:p w14:paraId="09D66181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067518E" w14:textId="57EFC4B3" w:rsidR="005C26FF" w:rsidRDefault="00615732" w:rsidP="001A15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ПРОГРАМА</w:t>
      </w:r>
      <w:r w:rsidR="005C26FF"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ПОДСТИЦАЈ РАЗВОЈА ПРЕРАЂИВАЧКИХ КАПАЦИТЕТА У ОБЛАСТИ ПРОИЗВОДЊЕ ВИНА</w:t>
      </w:r>
      <w:r w:rsidR="00D86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D86B4A" w:rsidRPr="00D86B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ПИВА И ЈАКИХ АЛКОХОЛНИХ ПИЋА</w:t>
      </w:r>
      <w:r w:rsidR="00D86B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69A6" w:rsidRPr="00AF69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 100% ДОМАЋЕ СИРОВИНЕ</w:t>
      </w:r>
      <w:r w:rsidR="00AF69A6"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C26FF"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202</w:t>
      </w:r>
      <w:r w:rsidR="00AF69A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C26FF"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ГОДИНИ</w:t>
      </w:r>
    </w:p>
    <w:p w14:paraId="16B07733" w14:textId="77777777" w:rsidR="007F1DA9" w:rsidRPr="007F1DA9" w:rsidRDefault="007F1DA9" w:rsidP="001A15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AD9A55E" w14:textId="77777777" w:rsidR="005C26FF" w:rsidRPr="007F1DA9" w:rsidRDefault="005C26FF" w:rsidP="001A15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D8A9924" w14:textId="77777777" w:rsidR="00E966C0" w:rsidRDefault="00E966C0" w:rsidP="00E966C0">
      <w:pPr>
        <w:pStyle w:val="NormalWeb"/>
        <w:jc w:val="both"/>
      </w:pPr>
      <w:r>
        <w:t>Министарство привреде, у сарадњи са Фондом за развој Републике Србије, реализује програм подршке секторима који имају значајан развојни, извозни и идентитетски потенцијал за привреду Србије. Кроз улагања у модернизацију и технолошко унапређење производње вина, пива и јаких алкохолних пића од 100% домаће сировине, стварају се услови за јачање конкурентности, повећање додате вредности и снажније позиционирање домаћих производа на тржишту.</w:t>
      </w:r>
    </w:p>
    <w:p w14:paraId="3921CEBF" w14:textId="77777777" w:rsidR="00E966C0" w:rsidRDefault="00E966C0" w:rsidP="00E966C0">
      <w:pPr>
        <w:pStyle w:val="NormalWeb"/>
        <w:jc w:val="both"/>
      </w:pPr>
      <w:r>
        <w:t>Укупно расположива бесповратна средства износе 150.000.000,00 динара.</w:t>
      </w:r>
    </w:p>
    <w:p w14:paraId="28D808CB" w14:textId="40370344" w:rsidR="00E966C0" w:rsidRDefault="00E966C0" w:rsidP="00E966C0">
      <w:pPr>
        <w:pStyle w:val="NormalWeb"/>
        <w:jc w:val="both"/>
      </w:pPr>
      <w:r>
        <w:t>Средства су намењена привредним субјектима који послују на територији Републике Србије, са јасном развојном намером да се додатно оснаже производни капацитети у срединама ван највећих урбаних центара</w:t>
      </w:r>
      <w:r>
        <w:t xml:space="preserve">, </w:t>
      </w:r>
      <w:r>
        <w:rPr>
          <w:lang w:val="sr-Cyrl-RS"/>
        </w:rPr>
        <w:t>као</w:t>
      </w:r>
      <w:r>
        <w:t xml:space="preserve"> и да се обезбеди равномернији регионални развој. У том контексту, Програм је усмерен на субјекте са седиштем изван градских општина територије Града Београда и територије Града Новог Сада.</w:t>
      </w:r>
      <w:r>
        <w:t xml:space="preserve"> </w:t>
      </w:r>
    </w:p>
    <w:p w14:paraId="2532E4EF" w14:textId="10AF1C29" w:rsidR="00E966C0" w:rsidRDefault="00E966C0" w:rsidP="00E966C0">
      <w:pPr>
        <w:pStyle w:val="NormalWeb"/>
        <w:jc w:val="both"/>
      </w:pPr>
      <w:r>
        <w:t>Право учешћа имају:</w:t>
      </w:r>
    </w:p>
    <w:p w14:paraId="2C855933" w14:textId="77777777" w:rsidR="00E966C0" w:rsidRDefault="00E966C0" w:rsidP="00E966C0">
      <w:pPr>
        <w:pStyle w:val="NormalWeb"/>
        <w:numPr>
          <w:ilvl w:val="0"/>
          <w:numId w:val="6"/>
        </w:numPr>
        <w:jc w:val="both"/>
      </w:pPr>
      <w:r>
        <w:t>микро и мала правна лица и задруге регистроване у АПР најкасније до 31. децембра 2023. године;</w:t>
      </w:r>
    </w:p>
    <w:p w14:paraId="12BBD218" w14:textId="77777777" w:rsidR="00E966C0" w:rsidRDefault="00E966C0" w:rsidP="00E966C0">
      <w:pPr>
        <w:pStyle w:val="NormalWeb"/>
        <w:numPr>
          <w:ilvl w:val="0"/>
          <w:numId w:val="6"/>
        </w:numPr>
        <w:jc w:val="both"/>
      </w:pPr>
      <w:r>
        <w:t>предузетници регистровани најкасније до 31. децембра 2023. године;</w:t>
      </w:r>
    </w:p>
    <w:p w14:paraId="4A77B105" w14:textId="77777777" w:rsidR="00E966C0" w:rsidRDefault="00E966C0" w:rsidP="00E966C0">
      <w:pPr>
        <w:pStyle w:val="NormalWeb"/>
        <w:jc w:val="both"/>
      </w:pPr>
      <w:r>
        <w:t>Услов је да</w:t>
      </w:r>
      <w:bookmarkStart w:id="0" w:name="_GoBack"/>
      <w:bookmarkEnd w:id="0"/>
      <w:r>
        <w:t>:</w:t>
      </w:r>
    </w:p>
    <w:p w14:paraId="6CCEDF89" w14:textId="77777777" w:rsidR="00E966C0" w:rsidRDefault="00E966C0" w:rsidP="00E966C0">
      <w:pPr>
        <w:pStyle w:val="NormalWeb"/>
        <w:numPr>
          <w:ilvl w:val="0"/>
          <w:numId w:val="7"/>
        </w:numPr>
        <w:jc w:val="both"/>
      </w:pPr>
      <w:r>
        <w:t>произвођачи вина буду уписани у винарски регистар,</w:t>
      </w:r>
    </w:p>
    <w:p w14:paraId="576278FD" w14:textId="77777777" w:rsidR="00E966C0" w:rsidRDefault="00E966C0" w:rsidP="00E966C0">
      <w:pPr>
        <w:pStyle w:val="NormalWeb"/>
        <w:numPr>
          <w:ilvl w:val="0"/>
          <w:numId w:val="7"/>
        </w:numPr>
        <w:jc w:val="both"/>
      </w:pPr>
      <w:r>
        <w:t>произвођачи пива буду уписани у регистар произвођача пива,</w:t>
      </w:r>
    </w:p>
    <w:p w14:paraId="77C8633D" w14:textId="77777777" w:rsidR="00E966C0" w:rsidRDefault="00E966C0" w:rsidP="00E966C0">
      <w:pPr>
        <w:pStyle w:val="NormalWeb"/>
        <w:numPr>
          <w:ilvl w:val="0"/>
          <w:numId w:val="7"/>
        </w:numPr>
        <w:jc w:val="both"/>
      </w:pPr>
      <w:r>
        <w:t>произвођачи јаких алкохолних пића буду уписани у одговарајући регистар у складу са законом.</w:t>
      </w:r>
    </w:p>
    <w:p w14:paraId="5D94197D" w14:textId="77777777" w:rsidR="00E966C0" w:rsidRDefault="00E966C0" w:rsidP="00E966C0">
      <w:pPr>
        <w:pStyle w:val="NormalWeb"/>
        <w:jc w:val="both"/>
      </w:pPr>
      <w:r>
        <w:lastRenderedPageBreak/>
        <w:t>Средства су намењена за суфинансирање:</w:t>
      </w:r>
    </w:p>
    <w:p w14:paraId="15A2B3D8" w14:textId="77777777" w:rsidR="00E966C0" w:rsidRDefault="00E966C0" w:rsidP="00E966C0">
      <w:pPr>
        <w:pStyle w:val="NormalWeb"/>
        <w:numPr>
          <w:ilvl w:val="0"/>
          <w:numId w:val="8"/>
        </w:numPr>
        <w:jc w:val="both"/>
      </w:pPr>
      <w:r>
        <w:t>нове производне опреме и машина,</w:t>
      </w:r>
    </w:p>
    <w:p w14:paraId="1DDA1A5F" w14:textId="77777777" w:rsidR="00E966C0" w:rsidRDefault="00E966C0" w:rsidP="00E966C0">
      <w:pPr>
        <w:pStyle w:val="NormalWeb"/>
        <w:numPr>
          <w:ilvl w:val="0"/>
          <w:numId w:val="8"/>
        </w:numPr>
        <w:jc w:val="both"/>
      </w:pPr>
      <w:r>
        <w:t>доставних возила,</w:t>
      </w:r>
    </w:p>
    <w:p w14:paraId="53326B21" w14:textId="77777777" w:rsidR="00E966C0" w:rsidRDefault="00E966C0" w:rsidP="00E966C0">
      <w:pPr>
        <w:pStyle w:val="NormalWeb"/>
        <w:numPr>
          <w:ilvl w:val="0"/>
          <w:numId w:val="8"/>
        </w:numPr>
        <w:jc w:val="both"/>
      </w:pPr>
      <w:r>
        <w:t>делова и специјализованих алата,</w:t>
      </w:r>
    </w:p>
    <w:p w14:paraId="5044A8CE" w14:textId="77777777" w:rsidR="00E966C0" w:rsidRDefault="00E966C0" w:rsidP="00E966C0">
      <w:pPr>
        <w:pStyle w:val="NormalWeb"/>
        <w:numPr>
          <w:ilvl w:val="0"/>
          <w:numId w:val="8"/>
        </w:numPr>
        <w:jc w:val="both"/>
      </w:pPr>
      <w:r>
        <w:t>опреме за енергетску ефикасност и унапређење еколошких стандарда,</w:t>
      </w:r>
    </w:p>
    <w:p w14:paraId="750CBC2D" w14:textId="77777777" w:rsidR="00E966C0" w:rsidRDefault="00E966C0" w:rsidP="00E966C0">
      <w:pPr>
        <w:pStyle w:val="NormalWeb"/>
        <w:numPr>
          <w:ilvl w:val="0"/>
          <w:numId w:val="8"/>
        </w:numPr>
        <w:jc w:val="both"/>
      </w:pPr>
      <w:r>
        <w:t>оперативних трошкова (до 20% укупног улагања).</w:t>
      </w:r>
    </w:p>
    <w:p w14:paraId="049C0648" w14:textId="77777777" w:rsidR="00E966C0" w:rsidRDefault="00E966C0" w:rsidP="00E966C0">
      <w:pPr>
        <w:pStyle w:val="NormalWeb"/>
        <w:jc w:val="both"/>
      </w:pPr>
      <w:r>
        <w:t>Бесповратна средства могу износити:</w:t>
      </w:r>
    </w:p>
    <w:p w14:paraId="70A9BC6A" w14:textId="77777777" w:rsidR="00E966C0" w:rsidRDefault="00E966C0" w:rsidP="00E966C0">
      <w:pPr>
        <w:pStyle w:val="NormalWeb"/>
        <w:numPr>
          <w:ilvl w:val="0"/>
          <w:numId w:val="9"/>
        </w:numPr>
        <w:jc w:val="both"/>
      </w:pPr>
      <w:r>
        <w:t>до 50% вредности инвестиције,</w:t>
      </w:r>
    </w:p>
    <w:p w14:paraId="3AAE1A8E" w14:textId="77777777" w:rsidR="00E966C0" w:rsidRDefault="00E966C0" w:rsidP="00E966C0">
      <w:pPr>
        <w:pStyle w:val="NormalWeb"/>
        <w:numPr>
          <w:ilvl w:val="0"/>
          <w:numId w:val="9"/>
        </w:numPr>
        <w:jc w:val="both"/>
      </w:pPr>
      <w:r>
        <w:t>до 55% у јединицама локалне самоуправе треће и четврте групе развијености,</w:t>
      </w:r>
    </w:p>
    <w:p w14:paraId="443D90BA" w14:textId="77777777" w:rsidR="00E966C0" w:rsidRDefault="00E966C0" w:rsidP="00E966C0">
      <w:pPr>
        <w:pStyle w:val="NormalWeb"/>
        <w:numPr>
          <w:ilvl w:val="0"/>
          <w:numId w:val="9"/>
        </w:numPr>
        <w:jc w:val="both"/>
      </w:pPr>
      <w:r>
        <w:t>до 60% за субјекте чији је оснивач жена, млади до 35 година, или који остварују више од 30% прихода на иностраном тржишту.</w:t>
      </w:r>
    </w:p>
    <w:p w14:paraId="08E612EE" w14:textId="77777777" w:rsidR="00E966C0" w:rsidRDefault="00E966C0" w:rsidP="00E966C0">
      <w:pPr>
        <w:pStyle w:val="NormalWeb"/>
        <w:jc w:val="both"/>
      </w:pPr>
      <w:r>
        <w:t>Најмањи износ бесповратних средстава је 500.000,00 РСД, а највиши 10.000.000,00 РСД.</w:t>
      </w:r>
    </w:p>
    <w:p w14:paraId="7D70E263" w14:textId="77777777" w:rsidR="00E966C0" w:rsidRDefault="00E966C0" w:rsidP="00E966C0">
      <w:pPr>
        <w:pStyle w:val="NormalWeb"/>
        <w:jc w:val="both"/>
      </w:pPr>
      <w:r>
        <w:t>Преостали део инвестиције финансира се из сопствених средстава или кредита Фонда, под следећим условима:</w:t>
      </w:r>
    </w:p>
    <w:p w14:paraId="6EA9FD6D" w14:textId="77777777" w:rsidR="00E966C0" w:rsidRDefault="00E966C0" w:rsidP="00E966C0">
      <w:pPr>
        <w:pStyle w:val="NormalWeb"/>
        <w:numPr>
          <w:ilvl w:val="0"/>
          <w:numId w:val="10"/>
        </w:numPr>
        <w:jc w:val="both"/>
      </w:pPr>
      <w:r>
        <w:t>износ кредита до 10.000.000,00 РСД,</w:t>
      </w:r>
    </w:p>
    <w:p w14:paraId="0A6C3C68" w14:textId="77777777" w:rsidR="00E966C0" w:rsidRDefault="00E966C0" w:rsidP="00E966C0">
      <w:pPr>
        <w:pStyle w:val="NormalWeb"/>
        <w:numPr>
          <w:ilvl w:val="0"/>
          <w:numId w:val="10"/>
        </w:numPr>
        <w:jc w:val="both"/>
      </w:pPr>
      <w:r>
        <w:t>рок отплате до 60 месеци,</w:t>
      </w:r>
    </w:p>
    <w:p w14:paraId="7556145B" w14:textId="77777777" w:rsidR="00E966C0" w:rsidRDefault="00E966C0" w:rsidP="00E966C0">
      <w:pPr>
        <w:pStyle w:val="NormalWeb"/>
        <w:numPr>
          <w:ilvl w:val="0"/>
          <w:numId w:val="10"/>
        </w:numPr>
        <w:jc w:val="both"/>
      </w:pPr>
      <w:r>
        <w:t>грејс период 12 месеци,</w:t>
      </w:r>
    </w:p>
    <w:p w14:paraId="0257D834" w14:textId="77777777" w:rsidR="00E966C0" w:rsidRDefault="00E966C0" w:rsidP="00E966C0">
      <w:pPr>
        <w:pStyle w:val="NormalWeb"/>
        <w:numPr>
          <w:ilvl w:val="0"/>
          <w:numId w:val="10"/>
        </w:numPr>
        <w:jc w:val="both"/>
      </w:pPr>
      <w:r>
        <w:t>каматна стопа 2,5% уз валутну клаузулу,</w:t>
      </w:r>
    </w:p>
    <w:p w14:paraId="7F0E0127" w14:textId="77777777" w:rsidR="00E966C0" w:rsidRDefault="00E966C0" w:rsidP="00E966C0">
      <w:pPr>
        <w:pStyle w:val="NormalWeb"/>
        <w:numPr>
          <w:ilvl w:val="0"/>
          <w:numId w:val="10"/>
        </w:numPr>
        <w:jc w:val="both"/>
      </w:pPr>
      <w:r>
        <w:t>провизија 0,3%,</w:t>
      </w:r>
    </w:p>
    <w:p w14:paraId="574F3333" w14:textId="77777777" w:rsidR="00E966C0" w:rsidRDefault="00E966C0" w:rsidP="00E966C0">
      <w:pPr>
        <w:pStyle w:val="NormalWeb"/>
        <w:numPr>
          <w:ilvl w:val="0"/>
          <w:numId w:val="10"/>
        </w:numPr>
        <w:jc w:val="both"/>
      </w:pPr>
      <w:r>
        <w:t>средства обезбеђења у складу са програмом.</w:t>
      </w:r>
    </w:p>
    <w:p w14:paraId="146C0A04" w14:textId="77777777" w:rsidR="00E966C0" w:rsidRDefault="00E966C0" w:rsidP="00E966C0">
      <w:pPr>
        <w:pStyle w:val="NormalWeb"/>
        <w:jc w:val="both"/>
      </w:pPr>
      <w:r>
        <w:t>Јавни позив је отворен до утрошка средстава, а најкасније до 30. априла 2026. године.</w:t>
      </w:r>
    </w:p>
    <w:p w14:paraId="70A82AAF" w14:textId="77777777" w:rsidR="007F1DA9" w:rsidRPr="007F1DA9" w:rsidRDefault="007F1DA9" w:rsidP="001A1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BE741A0" w14:textId="71830A0F" w:rsidR="005C26FF" w:rsidRPr="007F1DA9" w:rsidRDefault="007F1DA9" w:rsidP="006E3293">
      <w:pPr>
        <w:tabs>
          <w:tab w:val="center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F1DA9">
        <w:rPr>
          <w:rFonts w:ascii="Times New Roman" w:hAnsi="Times New Roman" w:cs="Times New Roman"/>
          <w:sz w:val="24"/>
          <w:szCs w:val="24"/>
          <w:lang w:val="sr-Cyrl-CS"/>
        </w:rPr>
        <w:t xml:space="preserve">На интернет странама Министарства: </w:t>
      </w:r>
      <w:hyperlink r:id="rId6" w:history="1">
        <w:r w:rsidRPr="007F1DA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7F1DA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privreda</w:t>
        </w:r>
        <w:r w:rsidRPr="007F1DA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7F1DA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686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7F1DA9">
        <w:rPr>
          <w:rFonts w:ascii="Times New Roman" w:hAnsi="Times New Roman" w:cs="Times New Roman"/>
          <w:sz w:val="24"/>
          <w:szCs w:val="24"/>
          <w:lang w:val="sr-Cyrl-CS"/>
        </w:rPr>
        <w:t xml:space="preserve">Фонда: </w:t>
      </w:r>
      <w:hyperlink r:id="rId7" w:history="1">
        <w:r w:rsidRPr="007F1DA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7F1DA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fondzarazvoj</w:t>
        </w:r>
        <w:r w:rsidRPr="007F1DA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7F1DA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F1DA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може се преузети потребна документација </w:t>
      </w:r>
      <w:r w:rsidRPr="007F1DA9">
        <w:rPr>
          <w:rFonts w:ascii="Times New Roman" w:hAnsi="Times New Roman" w:cs="Times New Roman"/>
          <w:bCs/>
          <w:sz w:val="24"/>
          <w:szCs w:val="24"/>
          <w:lang w:val="ru-RU"/>
        </w:rPr>
        <w:t>у којој су ближе дефинисани сви битни елементи и правила за учешће у овом програму.</w:t>
      </w:r>
    </w:p>
    <w:sectPr w:rsidR="005C26FF" w:rsidRPr="007F1DA9" w:rsidSect="007F1DA9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1214E"/>
    <w:multiLevelType w:val="multilevel"/>
    <w:tmpl w:val="AC26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2118B"/>
    <w:multiLevelType w:val="multilevel"/>
    <w:tmpl w:val="44C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E6E30"/>
    <w:multiLevelType w:val="hybridMultilevel"/>
    <w:tmpl w:val="39B081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167B4"/>
    <w:multiLevelType w:val="hybridMultilevel"/>
    <w:tmpl w:val="D068C0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E1060"/>
    <w:multiLevelType w:val="multilevel"/>
    <w:tmpl w:val="B77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1180B"/>
    <w:multiLevelType w:val="hybridMultilevel"/>
    <w:tmpl w:val="F61633F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27243"/>
    <w:multiLevelType w:val="multilevel"/>
    <w:tmpl w:val="6F1C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D6091"/>
    <w:multiLevelType w:val="multilevel"/>
    <w:tmpl w:val="DC22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F"/>
    <w:rsid w:val="000C218E"/>
    <w:rsid w:val="00156863"/>
    <w:rsid w:val="001A15DB"/>
    <w:rsid w:val="001A56E9"/>
    <w:rsid w:val="00451EC9"/>
    <w:rsid w:val="004D1FCF"/>
    <w:rsid w:val="0051031E"/>
    <w:rsid w:val="005A139A"/>
    <w:rsid w:val="005C26FF"/>
    <w:rsid w:val="00615732"/>
    <w:rsid w:val="0067267C"/>
    <w:rsid w:val="006E3293"/>
    <w:rsid w:val="00745308"/>
    <w:rsid w:val="007F1DA9"/>
    <w:rsid w:val="008054FF"/>
    <w:rsid w:val="00882652"/>
    <w:rsid w:val="008B7204"/>
    <w:rsid w:val="009977EA"/>
    <w:rsid w:val="00AF69A6"/>
    <w:rsid w:val="00C3280D"/>
    <w:rsid w:val="00CC7DB4"/>
    <w:rsid w:val="00D6575F"/>
    <w:rsid w:val="00D738C9"/>
    <w:rsid w:val="00D86B4A"/>
    <w:rsid w:val="00DB7838"/>
    <w:rsid w:val="00E122A3"/>
    <w:rsid w:val="00E44DB2"/>
    <w:rsid w:val="00E65ADA"/>
    <w:rsid w:val="00E92228"/>
    <w:rsid w:val="00E966C0"/>
    <w:rsid w:val="00EC0E70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FA2"/>
  <w15:chartTrackingRefBased/>
  <w15:docId w15:val="{0543CC6D-AC53-4A01-83B9-EBEEF7CE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0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F1D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zarazvoj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red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Marinkovic</dc:creator>
  <cp:keywords/>
  <dc:description/>
  <cp:lastModifiedBy>Marko Zelić</cp:lastModifiedBy>
  <cp:revision>14</cp:revision>
  <cp:lastPrinted>2026-03-03T10:32:00Z</cp:lastPrinted>
  <dcterms:created xsi:type="dcterms:W3CDTF">2025-11-14T11:56:00Z</dcterms:created>
  <dcterms:modified xsi:type="dcterms:W3CDTF">2026-03-03T10:38:00Z</dcterms:modified>
</cp:coreProperties>
</file>